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88D" w:rsidRPr="0074532E" w:rsidRDefault="003F688D" w:rsidP="003F688D">
      <w:pPr>
        <w:pStyle w:val="Paragraphedeliste"/>
        <w:spacing w:after="0" w:line="240" w:lineRule="auto"/>
        <w:ind w:left="0"/>
        <w:jc w:val="center"/>
        <w:rPr>
          <w:rFonts w:asciiTheme="majorHAnsi" w:hAnsiTheme="majorHAnsi" w:cstheme="majorHAnsi"/>
          <w:b/>
        </w:rPr>
      </w:pPr>
      <w:bookmarkStart w:id="0" w:name="_GoBack"/>
      <w:bookmarkEnd w:id="0"/>
      <w:r w:rsidRPr="0074532E">
        <w:rPr>
          <w:rFonts w:asciiTheme="majorHAnsi" w:hAnsiTheme="majorHAnsi" w:cstheme="majorHAnsi"/>
          <w:b/>
        </w:rPr>
        <w:t xml:space="preserve">Dénominations et caractéristiques des normes ISO dédiées </w:t>
      </w:r>
      <w:r w:rsidRPr="0074532E">
        <w:rPr>
          <w:rFonts w:asciiTheme="majorHAnsi" w:hAnsiTheme="majorHAnsi" w:cstheme="majorHAnsi"/>
          <w:b/>
        </w:rPr>
        <w:br/>
        <w:t>au champ applicatif de l’identification des animaux par radiofréquences</w:t>
      </w:r>
    </w:p>
    <w:p w:rsidR="003F688D" w:rsidRPr="0074532E" w:rsidRDefault="003F688D" w:rsidP="003F688D">
      <w:pPr>
        <w:pStyle w:val="Paragraphedeliste"/>
        <w:spacing w:after="0" w:line="240" w:lineRule="auto"/>
        <w:ind w:left="0"/>
        <w:jc w:val="center"/>
        <w:rPr>
          <w:rFonts w:asciiTheme="majorHAnsi" w:hAnsiTheme="majorHAnsi" w:cstheme="majorHAnsi"/>
        </w:rPr>
      </w:pPr>
    </w:p>
    <w:tbl>
      <w:tblPr>
        <w:tblStyle w:val="Grilledutableau"/>
        <w:tblW w:w="10343" w:type="dxa"/>
        <w:tblInd w:w="0" w:type="dxa"/>
        <w:tblLook w:val="04A0" w:firstRow="1" w:lastRow="0" w:firstColumn="1" w:lastColumn="0" w:noHBand="0" w:noVBand="1"/>
      </w:tblPr>
      <w:tblGrid>
        <w:gridCol w:w="3397"/>
        <w:gridCol w:w="6946"/>
      </w:tblGrid>
      <w:tr w:rsidR="003F688D" w:rsidRPr="0074532E" w:rsidTr="003F688D">
        <w:tc>
          <w:tcPr>
            <w:tcW w:w="3397" w:type="dxa"/>
            <w:tcBorders>
              <w:top w:val="single" w:sz="4" w:space="0" w:color="auto"/>
              <w:left w:val="single" w:sz="4" w:space="0" w:color="auto"/>
              <w:bottom w:val="single" w:sz="4" w:space="0" w:color="auto"/>
              <w:right w:val="single" w:sz="4" w:space="0" w:color="auto"/>
            </w:tcBorders>
            <w:shd w:val="pct15" w:color="auto" w:fill="auto"/>
            <w:hideMark/>
          </w:tcPr>
          <w:p w:rsidR="003F688D" w:rsidRPr="0074532E" w:rsidRDefault="003F688D">
            <w:pPr>
              <w:pStyle w:val="Paragraphedeliste"/>
              <w:spacing w:after="0"/>
              <w:ind w:left="0"/>
              <w:jc w:val="center"/>
              <w:rPr>
                <w:rFonts w:asciiTheme="majorHAnsi" w:hAnsiTheme="majorHAnsi" w:cstheme="majorHAnsi"/>
                <w:sz w:val="22"/>
                <w:szCs w:val="22"/>
                <w:lang w:eastAsia="en-US"/>
              </w:rPr>
            </w:pPr>
            <w:r w:rsidRPr="0074532E">
              <w:rPr>
                <w:rFonts w:asciiTheme="majorHAnsi" w:hAnsiTheme="majorHAnsi" w:cstheme="majorHAnsi"/>
                <w:sz w:val="22"/>
                <w:szCs w:val="22"/>
                <w:lang w:eastAsia="en-US"/>
              </w:rPr>
              <w:t>Norme ISO</w:t>
            </w:r>
          </w:p>
        </w:tc>
        <w:tc>
          <w:tcPr>
            <w:tcW w:w="6946" w:type="dxa"/>
            <w:tcBorders>
              <w:top w:val="single" w:sz="4" w:space="0" w:color="auto"/>
              <w:left w:val="single" w:sz="4" w:space="0" w:color="auto"/>
              <w:bottom w:val="single" w:sz="4" w:space="0" w:color="auto"/>
              <w:right w:val="single" w:sz="4" w:space="0" w:color="auto"/>
            </w:tcBorders>
            <w:shd w:val="pct15" w:color="auto" w:fill="auto"/>
            <w:hideMark/>
          </w:tcPr>
          <w:p w:rsidR="003F688D" w:rsidRPr="0074532E" w:rsidRDefault="003F688D">
            <w:pPr>
              <w:pStyle w:val="Paragraphedeliste"/>
              <w:spacing w:after="0"/>
              <w:ind w:left="0"/>
              <w:jc w:val="center"/>
              <w:rPr>
                <w:rFonts w:asciiTheme="majorHAnsi" w:hAnsiTheme="majorHAnsi" w:cstheme="majorHAnsi"/>
                <w:sz w:val="22"/>
                <w:szCs w:val="22"/>
                <w:lang w:eastAsia="en-US"/>
              </w:rPr>
            </w:pPr>
            <w:r w:rsidRPr="0074532E">
              <w:rPr>
                <w:rFonts w:asciiTheme="majorHAnsi" w:hAnsiTheme="majorHAnsi" w:cstheme="majorHAnsi"/>
                <w:sz w:val="22"/>
                <w:szCs w:val="22"/>
                <w:lang w:eastAsia="en-US"/>
              </w:rPr>
              <w:t>Caractéristiques</w:t>
            </w:r>
          </w:p>
        </w:tc>
      </w:tr>
      <w:tr w:rsidR="003F688D" w:rsidRPr="0074532E" w:rsidTr="003F688D">
        <w:tc>
          <w:tcPr>
            <w:tcW w:w="3397" w:type="dxa"/>
            <w:tcBorders>
              <w:top w:val="single" w:sz="4" w:space="0" w:color="auto"/>
              <w:left w:val="single" w:sz="4" w:space="0" w:color="auto"/>
              <w:bottom w:val="single" w:sz="4" w:space="0" w:color="auto"/>
              <w:right w:val="single" w:sz="4" w:space="0" w:color="auto"/>
            </w:tcBorders>
          </w:tcPr>
          <w:p w:rsidR="003F688D" w:rsidRPr="0074532E" w:rsidRDefault="003F688D">
            <w:pPr>
              <w:pStyle w:val="Paragraphedeliste"/>
              <w:spacing w:after="0" w:line="240" w:lineRule="auto"/>
              <w:ind w:left="0"/>
              <w:rPr>
                <w:rFonts w:asciiTheme="majorHAnsi" w:hAnsiTheme="majorHAnsi" w:cstheme="majorHAnsi"/>
                <w:sz w:val="22"/>
                <w:szCs w:val="22"/>
                <w:lang w:eastAsia="en-US"/>
              </w:rPr>
            </w:pPr>
            <w:r w:rsidRPr="0074532E">
              <w:rPr>
                <w:rFonts w:asciiTheme="majorHAnsi" w:hAnsiTheme="majorHAnsi" w:cstheme="majorHAnsi"/>
                <w:sz w:val="22"/>
                <w:szCs w:val="22"/>
                <w:lang w:eastAsia="en-US"/>
              </w:rPr>
              <w:t>ISO 11784</w:t>
            </w:r>
          </w:p>
          <w:p w:rsidR="003F688D" w:rsidRPr="0074532E" w:rsidRDefault="003F688D">
            <w:pPr>
              <w:pStyle w:val="Paragraphedeliste"/>
              <w:spacing w:after="0" w:line="240" w:lineRule="auto"/>
              <w:ind w:left="0"/>
              <w:rPr>
                <w:rFonts w:asciiTheme="majorHAnsi" w:hAnsiTheme="majorHAnsi" w:cstheme="majorHAnsi"/>
                <w:sz w:val="22"/>
                <w:szCs w:val="22"/>
                <w:lang w:eastAsia="en-US"/>
              </w:rPr>
            </w:pPr>
          </w:p>
          <w:p w:rsidR="003F688D" w:rsidRPr="0074532E" w:rsidRDefault="003F688D">
            <w:pPr>
              <w:pStyle w:val="Paragraphedeliste"/>
              <w:spacing w:after="0" w:line="240" w:lineRule="auto"/>
              <w:ind w:left="0"/>
              <w:jc w:val="left"/>
              <w:rPr>
                <w:rFonts w:asciiTheme="majorHAnsi" w:hAnsiTheme="majorHAnsi" w:cstheme="majorHAnsi"/>
                <w:sz w:val="22"/>
                <w:szCs w:val="22"/>
                <w:lang w:eastAsia="en-US"/>
              </w:rPr>
            </w:pPr>
            <w:r w:rsidRPr="0074532E">
              <w:rPr>
                <w:rFonts w:asciiTheme="majorHAnsi" w:hAnsiTheme="majorHAnsi" w:cstheme="majorHAnsi"/>
                <w:sz w:val="22"/>
                <w:szCs w:val="22"/>
                <w:lang w:eastAsia="en-US"/>
              </w:rPr>
              <w:t>Norme de structure des données contenues dans le tag RFID.</w:t>
            </w:r>
          </w:p>
        </w:tc>
        <w:tc>
          <w:tcPr>
            <w:tcW w:w="6946" w:type="dxa"/>
            <w:tcBorders>
              <w:top w:val="single" w:sz="4" w:space="0" w:color="auto"/>
              <w:left w:val="single" w:sz="4" w:space="0" w:color="auto"/>
              <w:bottom w:val="single" w:sz="4" w:space="0" w:color="auto"/>
              <w:right w:val="single" w:sz="4" w:space="0" w:color="auto"/>
            </w:tcBorders>
          </w:tcPr>
          <w:p w:rsidR="003F688D" w:rsidRPr="0074532E" w:rsidRDefault="003F688D" w:rsidP="0074532E">
            <w:pPr>
              <w:pStyle w:val="Paragraphedeliste"/>
              <w:spacing w:after="0"/>
              <w:ind w:left="0"/>
              <w:jc w:val="left"/>
              <w:rPr>
                <w:rFonts w:asciiTheme="majorHAnsi" w:hAnsiTheme="majorHAnsi" w:cstheme="majorHAnsi"/>
                <w:sz w:val="22"/>
                <w:szCs w:val="22"/>
                <w:lang w:eastAsia="en-US"/>
              </w:rPr>
            </w:pPr>
            <w:r w:rsidRPr="0074532E">
              <w:rPr>
                <w:rFonts w:asciiTheme="majorHAnsi" w:hAnsiTheme="majorHAnsi" w:cstheme="majorHAnsi"/>
                <w:sz w:val="22"/>
                <w:szCs w:val="22"/>
                <w:lang w:eastAsia="en-US"/>
              </w:rPr>
              <w:t xml:space="preserve">Le numéro d’identification inscrit dans l’identifiant électronique prend la forme d’un code unique universel à 15 chiffres. </w:t>
            </w:r>
            <w:r w:rsidRPr="0074532E">
              <w:rPr>
                <w:rFonts w:asciiTheme="majorHAnsi" w:hAnsiTheme="majorHAnsi" w:cstheme="majorHAnsi"/>
                <w:sz w:val="22"/>
                <w:szCs w:val="22"/>
                <w:lang w:eastAsia="en-US"/>
              </w:rPr>
              <w:br/>
            </w:r>
          </w:p>
          <w:p w:rsidR="003F688D" w:rsidRPr="0074532E" w:rsidRDefault="003F688D" w:rsidP="0074532E">
            <w:pPr>
              <w:pStyle w:val="Paragraphedeliste"/>
              <w:spacing w:after="0"/>
              <w:ind w:left="0"/>
              <w:jc w:val="left"/>
              <w:rPr>
                <w:rFonts w:asciiTheme="majorHAnsi" w:hAnsiTheme="majorHAnsi" w:cstheme="majorHAnsi"/>
                <w:sz w:val="22"/>
                <w:szCs w:val="22"/>
                <w:lang w:eastAsia="en-US"/>
              </w:rPr>
            </w:pPr>
            <w:r w:rsidRPr="0074532E">
              <w:rPr>
                <w:rFonts w:asciiTheme="majorHAnsi" w:hAnsiTheme="majorHAnsi" w:cstheme="majorHAnsi"/>
                <w:sz w:val="22"/>
                <w:szCs w:val="22"/>
                <w:lang w:eastAsia="en-US"/>
              </w:rPr>
              <w:t xml:space="preserve">En Europe, les trois premiers chiffres correspondent à un code ISO du pays d’origine de l’animal (250 pour la France) et les 12 derniers chiffres comprennent le code d’identification unique de l’animal selon la séquence suivante : 2 chiffres correspondant au code espèce défini par le ministère de l’Agriculture (04 pour les ovins et caprins, 25 pour les équidés, …), 2 chiffres correspondant à un code fabricant et 8 chiffres pour le numéro d’identification spécifique à l’animal. </w:t>
            </w:r>
          </w:p>
          <w:p w:rsidR="003F688D" w:rsidRPr="0074532E" w:rsidRDefault="003F688D" w:rsidP="0074532E">
            <w:pPr>
              <w:pStyle w:val="Paragraphedeliste"/>
              <w:spacing w:after="0"/>
              <w:ind w:left="0"/>
              <w:jc w:val="left"/>
              <w:rPr>
                <w:rFonts w:asciiTheme="majorHAnsi" w:hAnsiTheme="majorHAnsi" w:cstheme="majorHAnsi"/>
                <w:sz w:val="22"/>
                <w:szCs w:val="22"/>
                <w:lang w:eastAsia="en-US"/>
              </w:rPr>
            </w:pPr>
          </w:p>
          <w:p w:rsidR="003F688D" w:rsidRPr="0074532E" w:rsidRDefault="003F688D" w:rsidP="0074532E">
            <w:pPr>
              <w:pStyle w:val="Paragraphedeliste"/>
              <w:spacing w:after="0"/>
              <w:ind w:left="0"/>
              <w:jc w:val="left"/>
              <w:rPr>
                <w:rFonts w:asciiTheme="majorHAnsi" w:hAnsiTheme="majorHAnsi" w:cstheme="majorHAnsi"/>
                <w:sz w:val="22"/>
                <w:szCs w:val="22"/>
                <w:lang w:eastAsia="en-US"/>
              </w:rPr>
            </w:pPr>
            <w:r w:rsidRPr="0074532E">
              <w:rPr>
                <w:rFonts w:asciiTheme="majorHAnsi" w:hAnsiTheme="majorHAnsi" w:cstheme="majorHAnsi"/>
                <w:sz w:val="22"/>
                <w:szCs w:val="22"/>
                <w:lang w:eastAsia="en-US"/>
              </w:rPr>
              <w:t xml:space="preserve">Les tags répondant à cette norme sont dénommés FDX-B (Full Duplex de type B) et HDX (Half Duplex). Pour des raisons de formats, les tags FDX-B sont généralement mis en place dans les dispositifs de type transpondeurs injectables tandis que les HDX équipent les autres dispositifs. </w:t>
            </w:r>
          </w:p>
          <w:p w:rsidR="003F688D" w:rsidRPr="0074532E" w:rsidRDefault="003F688D" w:rsidP="0074532E">
            <w:pPr>
              <w:pStyle w:val="Paragraphedeliste"/>
              <w:spacing w:after="0"/>
              <w:ind w:left="0"/>
              <w:jc w:val="left"/>
              <w:rPr>
                <w:rFonts w:asciiTheme="majorHAnsi" w:hAnsiTheme="majorHAnsi" w:cstheme="majorHAnsi"/>
                <w:sz w:val="22"/>
                <w:szCs w:val="22"/>
                <w:lang w:eastAsia="en-US"/>
              </w:rPr>
            </w:pPr>
          </w:p>
          <w:p w:rsidR="003F688D" w:rsidRPr="0074532E" w:rsidRDefault="003F688D" w:rsidP="0074532E">
            <w:pPr>
              <w:pStyle w:val="Paragraphedeliste"/>
              <w:spacing w:after="0"/>
              <w:ind w:left="0"/>
              <w:jc w:val="left"/>
              <w:rPr>
                <w:rFonts w:asciiTheme="majorHAnsi" w:hAnsiTheme="majorHAnsi" w:cstheme="majorHAnsi"/>
                <w:sz w:val="22"/>
                <w:szCs w:val="22"/>
                <w:lang w:eastAsia="en-US"/>
              </w:rPr>
            </w:pPr>
            <w:r w:rsidRPr="0074532E">
              <w:rPr>
                <w:rFonts w:asciiTheme="majorHAnsi" w:hAnsiTheme="majorHAnsi" w:cstheme="majorHAnsi"/>
                <w:sz w:val="22"/>
                <w:szCs w:val="22"/>
                <w:lang w:eastAsia="en-US"/>
              </w:rPr>
              <w:t>Il est à noter que les pays du Royaume-Uni ont modifié cette codification initiale pour remplacer le code pays par un code fabricant ICAR (</w:t>
            </w:r>
            <w:r w:rsidRPr="0074532E">
              <w:rPr>
                <w:rFonts w:asciiTheme="majorHAnsi" w:hAnsiTheme="majorHAnsi" w:cstheme="majorHAnsi"/>
                <w:i/>
                <w:sz w:val="22"/>
                <w:szCs w:val="22"/>
                <w:lang w:eastAsia="en-US"/>
              </w:rPr>
              <w:t xml:space="preserve">International </w:t>
            </w:r>
            <w:proofErr w:type="spellStart"/>
            <w:r w:rsidRPr="0074532E">
              <w:rPr>
                <w:rFonts w:asciiTheme="majorHAnsi" w:hAnsiTheme="majorHAnsi" w:cstheme="majorHAnsi"/>
                <w:i/>
                <w:sz w:val="22"/>
                <w:szCs w:val="22"/>
                <w:lang w:eastAsia="en-US"/>
              </w:rPr>
              <w:t>Committee</w:t>
            </w:r>
            <w:proofErr w:type="spellEnd"/>
            <w:r w:rsidRPr="0074532E">
              <w:rPr>
                <w:rFonts w:asciiTheme="majorHAnsi" w:hAnsiTheme="majorHAnsi" w:cstheme="majorHAnsi"/>
                <w:i/>
                <w:sz w:val="22"/>
                <w:szCs w:val="22"/>
                <w:lang w:eastAsia="en-US"/>
              </w:rPr>
              <w:t xml:space="preserve"> for Animal </w:t>
            </w:r>
            <w:proofErr w:type="spellStart"/>
            <w:r w:rsidRPr="0074532E">
              <w:rPr>
                <w:rFonts w:asciiTheme="majorHAnsi" w:hAnsiTheme="majorHAnsi" w:cstheme="majorHAnsi"/>
                <w:i/>
                <w:sz w:val="22"/>
                <w:szCs w:val="22"/>
                <w:lang w:eastAsia="en-US"/>
              </w:rPr>
              <w:t>Recording</w:t>
            </w:r>
            <w:proofErr w:type="spellEnd"/>
            <w:r w:rsidRPr="0074532E">
              <w:rPr>
                <w:rFonts w:asciiTheme="majorHAnsi" w:hAnsiTheme="majorHAnsi" w:cstheme="majorHAnsi"/>
                <w:sz w:val="22"/>
                <w:szCs w:val="22"/>
                <w:lang w:eastAsia="en-US"/>
              </w:rPr>
              <w:t xml:space="preserve">), un organisme international notamment en charge du contrôle de conformité </w:t>
            </w:r>
            <w:r w:rsidRPr="0074532E">
              <w:rPr>
                <w:rFonts w:asciiTheme="majorHAnsi" w:hAnsiTheme="majorHAnsi" w:cstheme="majorHAnsi"/>
                <w:sz w:val="22"/>
                <w:szCs w:val="22"/>
                <w:lang w:eastAsia="en-US"/>
              </w:rPr>
              <w:br/>
              <w:t>des systèmes RFID appliqués aux animaux. De plus, les tags FDX-A (utilisés en Amérique du Nord, Australie ou encore Taïwan) qui proposent une identification à 10 chiffres ne sont pas couverts par la norme ISO.</w:t>
            </w:r>
          </w:p>
        </w:tc>
      </w:tr>
      <w:tr w:rsidR="003F688D" w:rsidRPr="0074532E" w:rsidTr="003F688D">
        <w:tc>
          <w:tcPr>
            <w:tcW w:w="3397" w:type="dxa"/>
            <w:tcBorders>
              <w:top w:val="single" w:sz="4" w:space="0" w:color="auto"/>
              <w:left w:val="single" w:sz="4" w:space="0" w:color="auto"/>
              <w:bottom w:val="single" w:sz="4" w:space="0" w:color="auto"/>
              <w:right w:val="single" w:sz="4" w:space="0" w:color="auto"/>
            </w:tcBorders>
          </w:tcPr>
          <w:p w:rsidR="003F688D" w:rsidRPr="0074532E" w:rsidRDefault="003F688D">
            <w:pPr>
              <w:pStyle w:val="Paragraphedeliste"/>
              <w:spacing w:after="0" w:line="240" w:lineRule="auto"/>
              <w:ind w:left="0"/>
              <w:jc w:val="left"/>
              <w:rPr>
                <w:rFonts w:asciiTheme="majorHAnsi" w:hAnsiTheme="majorHAnsi" w:cstheme="majorHAnsi"/>
                <w:sz w:val="22"/>
                <w:szCs w:val="22"/>
                <w:lang w:eastAsia="en-US"/>
              </w:rPr>
            </w:pPr>
            <w:r w:rsidRPr="0074532E">
              <w:rPr>
                <w:rFonts w:asciiTheme="majorHAnsi" w:hAnsiTheme="majorHAnsi" w:cstheme="majorHAnsi"/>
                <w:sz w:val="22"/>
                <w:szCs w:val="22"/>
                <w:lang w:eastAsia="en-US"/>
              </w:rPr>
              <w:t>ISO 11785</w:t>
            </w:r>
          </w:p>
          <w:p w:rsidR="003F688D" w:rsidRPr="0074532E" w:rsidRDefault="003F688D">
            <w:pPr>
              <w:pStyle w:val="Paragraphedeliste"/>
              <w:spacing w:after="0" w:line="240" w:lineRule="auto"/>
              <w:ind w:left="0"/>
              <w:jc w:val="left"/>
              <w:rPr>
                <w:rFonts w:asciiTheme="majorHAnsi" w:hAnsiTheme="majorHAnsi" w:cstheme="majorHAnsi"/>
                <w:sz w:val="22"/>
                <w:szCs w:val="22"/>
                <w:lang w:eastAsia="en-US"/>
              </w:rPr>
            </w:pPr>
          </w:p>
          <w:p w:rsidR="003F688D" w:rsidRPr="0074532E" w:rsidRDefault="003F688D">
            <w:pPr>
              <w:pStyle w:val="Paragraphedeliste"/>
              <w:spacing w:after="0" w:line="240" w:lineRule="auto"/>
              <w:ind w:left="0"/>
              <w:jc w:val="left"/>
              <w:rPr>
                <w:rFonts w:asciiTheme="majorHAnsi" w:hAnsiTheme="majorHAnsi" w:cstheme="majorHAnsi"/>
                <w:sz w:val="22"/>
                <w:szCs w:val="22"/>
                <w:lang w:eastAsia="en-US"/>
              </w:rPr>
            </w:pPr>
            <w:r w:rsidRPr="0074532E">
              <w:rPr>
                <w:rFonts w:asciiTheme="majorHAnsi" w:hAnsiTheme="majorHAnsi" w:cstheme="majorHAnsi"/>
                <w:sz w:val="22"/>
                <w:szCs w:val="22"/>
                <w:lang w:eastAsia="en-US"/>
              </w:rPr>
              <w:t>Norme qui regroupe les concepts techniques appliqués aux paramètres des protocoles de communication FDX et HDX.</w:t>
            </w:r>
          </w:p>
        </w:tc>
        <w:tc>
          <w:tcPr>
            <w:tcW w:w="6946" w:type="dxa"/>
            <w:tcBorders>
              <w:top w:val="single" w:sz="4" w:space="0" w:color="auto"/>
              <w:left w:val="single" w:sz="4" w:space="0" w:color="auto"/>
              <w:bottom w:val="single" w:sz="4" w:space="0" w:color="auto"/>
              <w:right w:val="single" w:sz="4" w:space="0" w:color="auto"/>
            </w:tcBorders>
          </w:tcPr>
          <w:p w:rsidR="003F688D" w:rsidRPr="0074532E" w:rsidRDefault="003F688D" w:rsidP="0074532E">
            <w:pPr>
              <w:pStyle w:val="Paragraphedeliste"/>
              <w:spacing w:after="0"/>
              <w:ind w:left="0"/>
              <w:jc w:val="left"/>
              <w:rPr>
                <w:rFonts w:asciiTheme="majorHAnsi" w:hAnsiTheme="majorHAnsi" w:cstheme="majorHAnsi"/>
                <w:sz w:val="22"/>
                <w:szCs w:val="22"/>
                <w:lang w:eastAsia="en-US"/>
              </w:rPr>
            </w:pPr>
            <w:r w:rsidRPr="0074532E">
              <w:rPr>
                <w:rFonts w:asciiTheme="majorHAnsi" w:hAnsiTheme="majorHAnsi" w:cstheme="majorHAnsi"/>
                <w:sz w:val="22"/>
                <w:szCs w:val="22"/>
                <w:lang w:eastAsia="en-US"/>
              </w:rPr>
              <w:t xml:space="preserve">Les deux protocoles de communication FDX et HDX diffèrent en termes de méthodes d’échanges d’informations entre le tag et l’interrogateur. </w:t>
            </w:r>
          </w:p>
          <w:p w:rsidR="003F688D" w:rsidRPr="0074532E" w:rsidRDefault="003F688D" w:rsidP="0074532E">
            <w:pPr>
              <w:pStyle w:val="Paragraphedeliste"/>
              <w:spacing w:after="0"/>
              <w:ind w:left="0"/>
              <w:jc w:val="left"/>
              <w:rPr>
                <w:rFonts w:asciiTheme="majorHAnsi" w:hAnsiTheme="majorHAnsi" w:cstheme="majorHAnsi"/>
                <w:sz w:val="22"/>
                <w:szCs w:val="22"/>
                <w:lang w:eastAsia="en-US"/>
              </w:rPr>
            </w:pPr>
          </w:p>
          <w:p w:rsidR="003F688D" w:rsidRPr="0074532E" w:rsidRDefault="003F688D" w:rsidP="0074532E">
            <w:pPr>
              <w:pStyle w:val="Paragraphedeliste"/>
              <w:spacing w:after="0"/>
              <w:ind w:left="0"/>
              <w:jc w:val="left"/>
              <w:rPr>
                <w:rFonts w:asciiTheme="majorHAnsi" w:hAnsiTheme="majorHAnsi" w:cstheme="majorHAnsi"/>
                <w:sz w:val="22"/>
                <w:szCs w:val="22"/>
                <w:lang w:eastAsia="en-US"/>
              </w:rPr>
            </w:pPr>
            <w:r w:rsidRPr="0074532E">
              <w:rPr>
                <w:rFonts w:asciiTheme="majorHAnsi" w:hAnsiTheme="majorHAnsi" w:cstheme="majorHAnsi"/>
                <w:sz w:val="22"/>
                <w:szCs w:val="22"/>
                <w:lang w:eastAsia="en-US"/>
              </w:rPr>
              <w:t xml:space="preserve">Le protocole FDX est dit synchrone puisque les informations sont communiquées pendant que l’interrogateur transmet son champ d’activation électromagnétique. </w:t>
            </w:r>
          </w:p>
          <w:p w:rsidR="003F688D" w:rsidRPr="0074532E" w:rsidRDefault="003F688D" w:rsidP="0074532E">
            <w:pPr>
              <w:pStyle w:val="Paragraphedeliste"/>
              <w:spacing w:after="0"/>
              <w:ind w:left="0"/>
              <w:jc w:val="left"/>
              <w:rPr>
                <w:rFonts w:asciiTheme="majorHAnsi" w:hAnsiTheme="majorHAnsi" w:cstheme="majorHAnsi"/>
                <w:sz w:val="22"/>
                <w:szCs w:val="22"/>
                <w:lang w:eastAsia="en-US"/>
              </w:rPr>
            </w:pPr>
          </w:p>
          <w:p w:rsidR="003F688D" w:rsidRPr="0074532E" w:rsidRDefault="003F688D" w:rsidP="0074532E">
            <w:pPr>
              <w:pStyle w:val="Paragraphedeliste"/>
              <w:spacing w:after="0"/>
              <w:ind w:left="0"/>
              <w:jc w:val="left"/>
              <w:rPr>
                <w:rFonts w:asciiTheme="majorHAnsi" w:hAnsiTheme="majorHAnsi" w:cstheme="majorHAnsi"/>
                <w:sz w:val="22"/>
                <w:szCs w:val="22"/>
                <w:lang w:eastAsia="en-US"/>
              </w:rPr>
            </w:pPr>
            <w:r w:rsidRPr="0074532E">
              <w:rPr>
                <w:rFonts w:asciiTheme="majorHAnsi" w:hAnsiTheme="majorHAnsi" w:cstheme="majorHAnsi"/>
                <w:sz w:val="22"/>
                <w:szCs w:val="22"/>
                <w:lang w:eastAsia="en-US"/>
              </w:rPr>
              <w:t xml:space="preserve">Le protocole HDX est dit asynchrone puisque les informations sont communiquées une fois que l’interrogateur a cessé de transmettre son champ d’activation </w:t>
            </w:r>
            <w:r w:rsidRPr="0074532E">
              <w:rPr>
                <w:rFonts w:asciiTheme="majorHAnsi" w:hAnsiTheme="majorHAnsi" w:cstheme="majorHAnsi"/>
                <w:sz w:val="22"/>
                <w:szCs w:val="22"/>
                <w:lang w:eastAsia="en-US"/>
              </w:rPr>
              <w:fldChar w:fldCharType="begin"/>
            </w:r>
            <w:r w:rsidRPr="0074532E">
              <w:rPr>
                <w:rFonts w:asciiTheme="majorHAnsi" w:hAnsiTheme="majorHAnsi" w:cstheme="majorHAnsi"/>
                <w:sz w:val="22"/>
                <w:szCs w:val="22"/>
                <w:lang w:eastAsia="en-US"/>
              </w:rPr>
              <w:instrText xml:space="preserve"> ADDIN EN.CITE &lt;EndNote&gt;&lt;Cite&gt;&lt;Author&gt;Hunt&lt;/Author&gt;&lt;Year&gt;2007&lt;/Year&gt;&lt;RecNum&gt;1872&lt;/RecNum&gt;&lt;DisplayText&gt;(Hunt&lt;style face="italic"&gt; et al.&lt;/style&gt; 2007)&lt;/DisplayText&gt;&lt;record&gt;&lt;rec-number&gt;1872&lt;/rec-number&gt;&lt;foreign-keys&gt;&lt;key app="EN" db-id="e25d2zaropa5f1easxavxaap9f9a52xdwr9x" timestamp="1635860842"&gt;1872&lt;/key&gt;&lt;/foreign-keys&gt;&lt;ref-type name="Book"&gt;6&lt;/ref-type&gt;&lt;contributors&gt;&lt;authors&gt;&lt;author&gt;Hunt, Daniel V.&lt;/author&gt;&lt;author&gt;Puglia, Albert&lt;/author&gt;&lt;author&gt;Puglia, Mike&lt;/author&gt;&lt;/authors&gt;&lt;/contributors&gt;&lt;titles&gt;&lt;title&gt;RFID: A Guide to Radio Frequency Identification&lt;/title&gt;&lt;/titles&gt;&lt;pages&gt;241&lt;/pages&gt;&lt;dates&gt;&lt;year&gt;2007&lt;/year&gt;&lt;/dates&gt;&lt;pub-location&gt;Hoboken, New Jersey&lt;/pub-location&gt;&lt;publisher&gt;John Wiley &amp;amp; Sons&lt;/publisher&gt;&lt;isbn&gt;978-0-470-10764-5&lt;/isbn&gt;&lt;urls&gt;&lt;/urls&gt;&lt;/record&gt;&lt;/Cite&gt;&lt;/EndNote&gt;</w:instrText>
            </w:r>
            <w:r w:rsidRPr="0074532E">
              <w:rPr>
                <w:rFonts w:asciiTheme="majorHAnsi" w:hAnsiTheme="majorHAnsi" w:cstheme="majorHAnsi"/>
                <w:sz w:val="22"/>
                <w:szCs w:val="22"/>
                <w:lang w:eastAsia="en-US"/>
              </w:rPr>
              <w:fldChar w:fldCharType="separate"/>
            </w:r>
            <w:r w:rsidRPr="0074532E">
              <w:rPr>
                <w:rFonts w:asciiTheme="majorHAnsi" w:hAnsiTheme="majorHAnsi" w:cstheme="majorHAnsi"/>
                <w:noProof/>
                <w:sz w:val="22"/>
                <w:szCs w:val="22"/>
                <w:lang w:eastAsia="en-US"/>
              </w:rPr>
              <w:t xml:space="preserve">(Hunt </w:t>
            </w:r>
            <w:r w:rsidRPr="0074532E">
              <w:rPr>
                <w:rFonts w:asciiTheme="majorHAnsi" w:hAnsiTheme="majorHAnsi" w:cstheme="majorHAnsi"/>
                <w:i/>
                <w:noProof/>
                <w:sz w:val="22"/>
                <w:szCs w:val="22"/>
                <w:lang w:eastAsia="en-US"/>
              </w:rPr>
              <w:t>et al.</w:t>
            </w:r>
            <w:r w:rsidRPr="0074532E">
              <w:rPr>
                <w:rFonts w:asciiTheme="majorHAnsi" w:hAnsiTheme="majorHAnsi" w:cstheme="majorHAnsi"/>
                <w:noProof/>
                <w:sz w:val="22"/>
                <w:szCs w:val="22"/>
                <w:lang w:eastAsia="en-US"/>
              </w:rPr>
              <w:t>, 2007)</w:t>
            </w:r>
            <w:r w:rsidRPr="0074532E">
              <w:rPr>
                <w:rFonts w:asciiTheme="majorHAnsi" w:hAnsiTheme="majorHAnsi" w:cstheme="majorHAnsi"/>
                <w:sz w:val="22"/>
                <w:szCs w:val="22"/>
                <w:lang w:eastAsia="en-US"/>
              </w:rPr>
              <w:fldChar w:fldCharType="end"/>
            </w:r>
            <w:r w:rsidRPr="0074532E">
              <w:rPr>
                <w:rFonts w:asciiTheme="majorHAnsi" w:hAnsiTheme="majorHAnsi" w:cstheme="majorHAnsi"/>
                <w:sz w:val="22"/>
                <w:szCs w:val="22"/>
                <w:lang w:eastAsia="en-US"/>
              </w:rPr>
              <w:t xml:space="preserve">. </w:t>
            </w:r>
          </w:p>
          <w:p w:rsidR="003F688D" w:rsidRPr="0074532E" w:rsidRDefault="0071716D" w:rsidP="004478DD">
            <w:pPr>
              <w:pStyle w:val="Paragraphedeliste"/>
              <w:tabs>
                <w:tab w:val="left" w:pos="1440"/>
                <w:tab w:val="left" w:pos="2688"/>
              </w:tabs>
              <w:spacing w:after="0"/>
              <w:ind w:left="0"/>
              <w:jc w:val="left"/>
              <w:rPr>
                <w:rFonts w:asciiTheme="majorHAnsi" w:hAnsiTheme="majorHAnsi" w:cstheme="majorHAnsi"/>
                <w:sz w:val="22"/>
                <w:szCs w:val="22"/>
                <w:lang w:eastAsia="en-US"/>
              </w:rPr>
            </w:pPr>
            <w:r>
              <w:rPr>
                <w:rFonts w:asciiTheme="majorHAnsi" w:hAnsiTheme="majorHAnsi" w:cstheme="majorHAnsi"/>
                <w:sz w:val="22"/>
                <w:szCs w:val="22"/>
                <w:lang w:eastAsia="en-US"/>
              </w:rPr>
              <w:tab/>
            </w:r>
            <w:r w:rsidR="004478DD">
              <w:rPr>
                <w:rFonts w:asciiTheme="majorHAnsi" w:hAnsiTheme="majorHAnsi" w:cstheme="majorHAnsi"/>
                <w:sz w:val="22"/>
                <w:szCs w:val="22"/>
                <w:lang w:eastAsia="en-US"/>
              </w:rPr>
              <w:tab/>
            </w:r>
          </w:p>
          <w:p w:rsidR="003F688D" w:rsidRPr="0074532E" w:rsidRDefault="003F688D" w:rsidP="0074532E">
            <w:pPr>
              <w:pStyle w:val="Paragraphedeliste"/>
              <w:spacing w:after="0"/>
              <w:ind w:left="0"/>
              <w:jc w:val="left"/>
              <w:rPr>
                <w:rFonts w:asciiTheme="majorHAnsi" w:hAnsiTheme="majorHAnsi" w:cstheme="majorHAnsi"/>
                <w:sz w:val="22"/>
                <w:szCs w:val="22"/>
                <w:lang w:eastAsia="en-US"/>
              </w:rPr>
            </w:pPr>
            <w:r w:rsidRPr="0074532E">
              <w:rPr>
                <w:rFonts w:asciiTheme="majorHAnsi" w:hAnsiTheme="majorHAnsi" w:cstheme="majorHAnsi"/>
                <w:sz w:val="22"/>
                <w:szCs w:val="22"/>
                <w:lang w:eastAsia="en-US"/>
              </w:rPr>
              <w:lastRenderedPageBreak/>
              <w:t>Ces deux protocoles de communication sont incompatibles, ce qui explique l’existence de lecteurs dits « full ISO » capables de lire indifféremment les tags FDX ou HDX. Il est en revanche impossible de lire deux tags ou plus via un même protocole de communication, le signal subissant des collisions électromagnétiques et devenant brouillé.</w:t>
            </w:r>
          </w:p>
        </w:tc>
      </w:tr>
      <w:tr w:rsidR="003F688D" w:rsidRPr="0074532E" w:rsidTr="003F688D">
        <w:tc>
          <w:tcPr>
            <w:tcW w:w="3397" w:type="dxa"/>
            <w:tcBorders>
              <w:top w:val="single" w:sz="4" w:space="0" w:color="auto"/>
              <w:left w:val="single" w:sz="4" w:space="0" w:color="auto"/>
              <w:bottom w:val="single" w:sz="4" w:space="0" w:color="auto"/>
              <w:right w:val="single" w:sz="4" w:space="0" w:color="auto"/>
            </w:tcBorders>
          </w:tcPr>
          <w:p w:rsidR="003F688D" w:rsidRPr="0074532E" w:rsidRDefault="003F688D">
            <w:pPr>
              <w:pStyle w:val="Paragraphedeliste"/>
              <w:spacing w:after="0" w:line="240" w:lineRule="auto"/>
              <w:ind w:left="0"/>
              <w:rPr>
                <w:rFonts w:asciiTheme="majorHAnsi" w:hAnsiTheme="majorHAnsi" w:cstheme="majorHAnsi"/>
                <w:sz w:val="22"/>
                <w:szCs w:val="22"/>
                <w:lang w:eastAsia="en-US"/>
              </w:rPr>
            </w:pPr>
            <w:r w:rsidRPr="0074532E">
              <w:rPr>
                <w:rFonts w:asciiTheme="majorHAnsi" w:hAnsiTheme="majorHAnsi" w:cstheme="majorHAnsi"/>
                <w:sz w:val="22"/>
                <w:szCs w:val="22"/>
                <w:lang w:eastAsia="en-US"/>
              </w:rPr>
              <w:lastRenderedPageBreak/>
              <w:t>ISO 14223</w:t>
            </w:r>
          </w:p>
          <w:p w:rsidR="003F688D" w:rsidRPr="0074532E" w:rsidRDefault="003F688D">
            <w:pPr>
              <w:pStyle w:val="Paragraphedeliste"/>
              <w:spacing w:after="0" w:line="240" w:lineRule="auto"/>
              <w:ind w:left="0"/>
              <w:rPr>
                <w:rFonts w:asciiTheme="majorHAnsi" w:hAnsiTheme="majorHAnsi" w:cstheme="majorHAnsi"/>
                <w:sz w:val="22"/>
                <w:szCs w:val="22"/>
                <w:lang w:eastAsia="en-US"/>
              </w:rPr>
            </w:pPr>
          </w:p>
          <w:p w:rsidR="003F688D" w:rsidRPr="0074532E" w:rsidRDefault="003F688D">
            <w:pPr>
              <w:pStyle w:val="Paragraphedeliste"/>
              <w:spacing w:after="0" w:line="240" w:lineRule="auto"/>
              <w:ind w:left="0"/>
              <w:jc w:val="left"/>
              <w:rPr>
                <w:rFonts w:asciiTheme="majorHAnsi" w:hAnsiTheme="majorHAnsi" w:cstheme="majorHAnsi"/>
                <w:sz w:val="22"/>
                <w:szCs w:val="22"/>
                <w:lang w:eastAsia="en-US"/>
              </w:rPr>
            </w:pPr>
            <w:r w:rsidRPr="0074532E">
              <w:rPr>
                <w:rFonts w:asciiTheme="majorHAnsi" w:hAnsiTheme="majorHAnsi" w:cstheme="majorHAnsi"/>
                <w:sz w:val="22"/>
                <w:szCs w:val="22"/>
                <w:lang w:eastAsia="en-US"/>
              </w:rPr>
              <w:t xml:space="preserve">Norme plus récente basée </w:t>
            </w:r>
            <w:r w:rsidRPr="0074532E">
              <w:rPr>
                <w:rFonts w:asciiTheme="majorHAnsi" w:hAnsiTheme="majorHAnsi" w:cstheme="majorHAnsi"/>
                <w:sz w:val="22"/>
                <w:szCs w:val="22"/>
                <w:lang w:eastAsia="en-US"/>
              </w:rPr>
              <w:br/>
              <w:t xml:space="preserve">sur ISO 11784. </w:t>
            </w:r>
          </w:p>
        </w:tc>
        <w:tc>
          <w:tcPr>
            <w:tcW w:w="6946" w:type="dxa"/>
            <w:tcBorders>
              <w:top w:val="single" w:sz="4" w:space="0" w:color="auto"/>
              <w:left w:val="single" w:sz="4" w:space="0" w:color="auto"/>
              <w:bottom w:val="single" w:sz="4" w:space="0" w:color="auto"/>
              <w:right w:val="single" w:sz="4" w:space="0" w:color="auto"/>
            </w:tcBorders>
          </w:tcPr>
          <w:p w:rsidR="003F688D" w:rsidRPr="0074532E" w:rsidRDefault="003F688D" w:rsidP="0074532E">
            <w:pPr>
              <w:pStyle w:val="Paragraphedeliste"/>
              <w:spacing w:after="0"/>
              <w:ind w:left="0"/>
              <w:jc w:val="left"/>
              <w:rPr>
                <w:rFonts w:asciiTheme="majorHAnsi" w:hAnsiTheme="majorHAnsi" w:cstheme="majorHAnsi"/>
                <w:sz w:val="22"/>
                <w:szCs w:val="22"/>
                <w:lang w:eastAsia="en-US"/>
              </w:rPr>
            </w:pPr>
            <w:r w:rsidRPr="0074532E">
              <w:rPr>
                <w:rFonts w:asciiTheme="majorHAnsi" w:hAnsiTheme="majorHAnsi" w:cstheme="majorHAnsi"/>
                <w:sz w:val="22"/>
                <w:szCs w:val="22"/>
                <w:lang w:eastAsia="en-US"/>
              </w:rPr>
              <w:t xml:space="preserve">Cette norme permet de rajouter au sein du code d’identification contenu dans le tag des informations supplémentaires (données recueillies par </w:t>
            </w:r>
            <w:r w:rsidRPr="0074532E">
              <w:rPr>
                <w:rFonts w:asciiTheme="majorHAnsi" w:hAnsiTheme="majorHAnsi" w:cstheme="majorHAnsi"/>
                <w:sz w:val="22"/>
                <w:szCs w:val="22"/>
                <w:lang w:eastAsia="en-US"/>
              </w:rPr>
              <w:br/>
              <w:t xml:space="preserve">des capteurs, informations supplémentaires sur le propriétaire initial </w:t>
            </w:r>
            <w:r w:rsidRPr="0074532E">
              <w:rPr>
                <w:rFonts w:asciiTheme="majorHAnsi" w:hAnsiTheme="majorHAnsi" w:cstheme="majorHAnsi"/>
                <w:sz w:val="22"/>
                <w:szCs w:val="22"/>
                <w:lang w:eastAsia="en-US"/>
              </w:rPr>
              <w:br/>
              <w:t>et les mouvements de l’animal, …).</w:t>
            </w:r>
          </w:p>
          <w:p w:rsidR="003F688D" w:rsidRPr="0074532E" w:rsidRDefault="003F688D" w:rsidP="0074532E">
            <w:pPr>
              <w:pStyle w:val="Paragraphedeliste"/>
              <w:spacing w:after="0"/>
              <w:ind w:left="0"/>
              <w:jc w:val="left"/>
              <w:rPr>
                <w:rFonts w:asciiTheme="majorHAnsi" w:hAnsiTheme="majorHAnsi" w:cstheme="majorHAnsi"/>
                <w:sz w:val="22"/>
                <w:szCs w:val="22"/>
                <w:lang w:eastAsia="en-US"/>
              </w:rPr>
            </w:pPr>
          </w:p>
          <w:p w:rsidR="003F688D" w:rsidRPr="0074532E" w:rsidRDefault="003F688D" w:rsidP="0074532E">
            <w:pPr>
              <w:pStyle w:val="Paragraphedeliste"/>
              <w:spacing w:after="0"/>
              <w:ind w:left="0"/>
              <w:jc w:val="left"/>
              <w:rPr>
                <w:rFonts w:asciiTheme="majorHAnsi" w:hAnsiTheme="majorHAnsi" w:cstheme="majorHAnsi"/>
                <w:sz w:val="22"/>
                <w:szCs w:val="22"/>
                <w:lang w:eastAsia="en-US"/>
              </w:rPr>
            </w:pPr>
            <w:r w:rsidRPr="0074532E">
              <w:rPr>
                <w:rFonts w:asciiTheme="majorHAnsi" w:hAnsiTheme="majorHAnsi" w:cstheme="majorHAnsi"/>
                <w:sz w:val="22"/>
                <w:szCs w:val="22"/>
                <w:lang w:eastAsia="en-US"/>
              </w:rPr>
              <w:t xml:space="preserve">Cette norme ajoute également un protocole anticollision permettant de lire plusieurs tags en même temps. </w:t>
            </w:r>
          </w:p>
          <w:p w:rsidR="003F688D" w:rsidRPr="0074532E" w:rsidRDefault="003F688D" w:rsidP="0074532E">
            <w:pPr>
              <w:pStyle w:val="Paragraphedeliste"/>
              <w:spacing w:after="0"/>
              <w:ind w:left="0"/>
              <w:jc w:val="left"/>
              <w:rPr>
                <w:rFonts w:asciiTheme="majorHAnsi" w:hAnsiTheme="majorHAnsi" w:cstheme="majorHAnsi"/>
                <w:sz w:val="22"/>
                <w:szCs w:val="22"/>
                <w:lang w:eastAsia="en-US"/>
              </w:rPr>
            </w:pPr>
          </w:p>
          <w:p w:rsidR="003F688D" w:rsidRPr="0074532E" w:rsidRDefault="003F688D" w:rsidP="0074532E">
            <w:pPr>
              <w:pStyle w:val="Paragraphedeliste"/>
              <w:spacing w:after="0"/>
              <w:ind w:left="0"/>
              <w:jc w:val="left"/>
              <w:rPr>
                <w:rFonts w:asciiTheme="majorHAnsi" w:hAnsiTheme="majorHAnsi" w:cstheme="majorHAnsi"/>
                <w:sz w:val="22"/>
                <w:szCs w:val="22"/>
                <w:lang w:eastAsia="en-US"/>
              </w:rPr>
            </w:pPr>
            <w:r w:rsidRPr="0074532E">
              <w:rPr>
                <w:rFonts w:asciiTheme="majorHAnsi" w:hAnsiTheme="majorHAnsi" w:cstheme="majorHAnsi"/>
                <w:sz w:val="22"/>
                <w:szCs w:val="22"/>
                <w:lang w:eastAsia="en-US"/>
              </w:rPr>
              <w:t xml:space="preserve">Les tags conformes à cette norme sont qualifiés de « transpondeurs évolués » par l’ISO, abrégé en ADV (FDX-ADV et HDX-ADV). </w:t>
            </w:r>
            <w:r w:rsidRPr="0074532E">
              <w:rPr>
                <w:rFonts w:asciiTheme="majorHAnsi" w:hAnsiTheme="majorHAnsi" w:cstheme="majorHAnsi"/>
                <w:sz w:val="22"/>
                <w:szCs w:val="22"/>
                <w:lang w:eastAsia="en-US"/>
              </w:rPr>
              <w:br/>
              <w:t xml:space="preserve">Ces derniers disposent d’une mémoire divisée en trois sections logiques : </w:t>
            </w:r>
            <w:r w:rsidRPr="0074532E">
              <w:rPr>
                <w:rFonts w:asciiTheme="majorHAnsi" w:hAnsiTheme="majorHAnsi" w:cstheme="majorHAnsi"/>
                <w:sz w:val="22"/>
                <w:szCs w:val="22"/>
                <w:lang w:eastAsia="en-US"/>
              </w:rPr>
              <w:br/>
              <w:t xml:space="preserve">(i) </w:t>
            </w:r>
            <w:r w:rsidRPr="0074532E">
              <w:rPr>
                <w:rFonts w:asciiTheme="majorHAnsi" w:hAnsiTheme="majorHAnsi" w:cstheme="majorHAnsi"/>
                <w:i/>
                <w:sz w:val="22"/>
                <w:szCs w:val="22"/>
                <w:lang w:eastAsia="en-US"/>
              </w:rPr>
              <w:t>l’interface hertzienne</w:t>
            </w:r>
            <w:r w:rsidRPr="0074532E">
              <w:rPr>
                <w:rFonts w:asciiTheme="majorHAnsi" w:hAnsiTheme="majorHAnsi" w:cstheme="majorHAnsi"/>
                <w:sz w:val="22"/>
                <w:szCs w:val="22"/>
                <w:lang w:eastAsia="en-US"/>
              </w:rPr>
              <w:t xml:space="preserve"> pour la spécification du mode </w:t>
            </w:r>
            <w:r w:rsidRPr="0074532E">
              <w:rPr>
                <w:rFonts w:asciiTheme="majorHAnsi" w:hAnsiTheme="majorHAnsi" w:cstheme="majorHAnsi"/>
                <w:sz w:val="22"/>
                <w:szCs w:val="22"/>
                <w:lang w:eastAsia="en-US"/>
              </w:rPr>
              <w:br/>
              <w:t xml:space="preserve">de communication entre le tag et l’interrogateur, (ii) </w:t>
            </w:r>
            <w:r w:rsidRPr="0074532E">
              <w:rPr>
                <w:rFonts w:asciiTheme="majorHAnsi" w:hAnsiTheme="majorHAnsi" w:cstheme="majorHAnsi"/>
                <w:i/>
                <w:sz w:val="22"/>
                <w:szCs w:val="22"/>
                <w:lang w:eastAsia="en-US"/>
              </w:rPr>
              <w:t>le</w:t>
            </w:r>
            <w:r w:rsidRPr="0074532E">
              <w:rPr>
                <w:rFonts w:asciiTheme="majorHAnsi" w:hAnsiTheme="majorHAnsi" w:cstheme="majorHAnsi"/>
                <w:sz w:val="22"/>
                <w:szCs w:val="22"/>
                <w:lang w:eastAsia="en-US"/>
              </w:rPr>
              <w:t xml:space="preserve"> </w:t>
            </w:r>
            <w:r w:rsidRPr="0074532E">
              <w:rPr>
                <w:rFonts w:asciiTheme="majorHAnsi" w:hAnsiTheme="majorHAnsi" w:cstheme="majorHAnsi"/>
                <w:i/>
                <w:sz w:val="22"/>
                <w:szCs w:val="22"/>
                <w:lang w:eastAsia="en-US"/>
              </w:rPr>
              <w:t xml:space="preserve">code </w:t>
            </w:r>
            <w:r w:rsidRPr="0074532E">
              <w:rPr>
                <w:rFonts w:asciiTheme="majorHAnsi" w:hAnsiTheme="majorHAnsi" w:cstheme="majorHAnsi"/>
                <w:i/>
                <w:sz w:val="22"/>
                <w:szCs w:val="22"/>
                <w:lang w:eastAsia="en-US"/>
              </w:rPr>
              <w:br/>
              <w:t>et la structure de commande</w:t>
            </w:r>
            <w:r w:rsidRPr="0074532E">
              <w:rPr>
                <w:rFonts w:asciiTheme="majorHAnsi" w:hAnsiTheme="majorHAnsi" w:cstheme="majorHAnsi"/>
                <w:sz w:val="22"/>
                <w:szCs w:val="22"/>
                <w:lang w:eastAsia="en-US"/>
              </w:rPr>
              <w:t xml:space="preserve"> qui facilitent le stockage et l’accès </w:t>
            </w:r>
            <w:r w:rsidRPr="0074532E">
              <w:rPr>
                <w:rFonts w:asciiTheme="majorHAnsi" w:hAnsiTheme="majorHAnsi" w:cstheme="majorHAnsi"/>
                <w:sz w:val="22"/>
                <w:szCs w:val="22"/>
                <w:lang w:eastAsia="en-US"/>
              </w:rPr>
              <w:br/>
              <w:t xml:space="preserve">aux données complémentaires et (iii) </w:t>
            </w:r>
            <w:r w:rsidRPr="0074532E">
              <w:rPr>
                <w:rFonts w:asciiTheme="majorHAnsi" w:hAnsiTheme="majorHAnsi" w:cstheme="majorHAnsi"/>
                <w:i/>
                <w:sz w:val="22"/>
                <w:szCs w:val="22"/>
                <w:lang w:eastAsia="en-US"/>
              </w:rPr>
              <w:t>les</w:t>
            </w:r>
            <w:r w:rsidRPr="0074532E">
              <w:rPr>
                <w:rFonts w:asciiTheme="majorHAnsi" w:hAnsiTheme="majorHAnsi" w:cstheme="majorHAnsi"/>
                <w:sz w:val="22"/>
                <w:szCs w:val="22"/>
                <w:lang w:eastAsia="en-US"/>
              </w:rPr>
              <w:t xml:space="preserve"> </w:t>
            </w:r>
            <w:r w:rsidRPr="0074532E">
              <w:rPr>
                <w:rFonts w:asciiTheme="majorHAnsi" w:hAnsiTheme="majorHAnsi" w:cstheme="majorHAnsi"/>
                <w:i/>
                <w:sz w:val="22"/>
                <w:szCs w:val="22"/>
                <w:lang w:eastAsia="en-US"/>
              </w:rPr>
              <w:t>applications</w:t>
            </w:r>
            <w:r w:rsidRPr="0074532E">
              <w:rPr>
                <w:rFonts w:asciiTheme="majorHAnsi" w:hAnsiTheme="majorHAnsi" w:cstheme="majorHAnsi"/>
                <w:sz w:val="22"/>
                <w:szCs w:val="22"/>
                <w:lang w:eastAsia="en-US"/>
              </w:rPr>
              <w:t xml:space="preserve"> qui décrivent notamment le format et les modalités d’accès à la mémoire des tags </w:t>
            </w:r>
            <w:r w:rsidRPr="0074532E">
              <w:rPr>
                <w:rFonts w:asciiTheme="majorHAnsi" w:hAnsiTheme="majorHAnsi" w:cstheme="majorHAnsi"/>
                <w:sz w:val="22"/>
                <w:szCs w:val="22"/>
                <w:lang w:eastAsia="en-US"/>
              </w:rPr>
              <w:br/>
            </w:r>
            <w:r w:rsidRPr="0074532E">
              <w:rPr>
                <w:rFonts w:asciiTheme="majorHAnsi" w:hAnsiTheme="majorHAnsi" w:cstheme="majorHAnsi"/>
                <w:sz w:val="22"/>
                <w:szCs w:val="22"/>
                <w:lang w:eastAsia="en-US"/>
              </w:rPr>
              <w:fldChar w:fldCharType="begin"/>
            </w:r>
            <w:r w:rsidRPr="0074532E">
              <w:rPr>
                <w:rFonts w:asciiTheme="majorHAnsi" w:hAnsiTheme="majorHAnsi" w:cstheme="majorHAnsi"/>
                <w:sz w:val="22"/>
                <w:szCs w:val="22"/>
                <w:lang w:eastAsia="en-US"/>
              </w:rPr>
              <w:instrText xml:space="preserve"> ADDIN EN.CITE &lt;EndNote&gt;&lt;Cite&gt;&lt;Author&gt;Van&amp;apos;t Klooster&lt;/Author&gt;&lt;Year&gt;2010&lt;/Year&gt;&lt;RecNum&gt;1869&lt;/RecNum&gt;&lt;DisplayText&gt;(Van&amp;apos;t Klooster et Hogewerf 2010)&lt;/DisplayText&gt;&lt;record&gt;&lt;rec-number&gt;1869&lt;/rec-number&gt;&lt;foreign-keys&gt;&lt;key app="EN" db-id="e25d2zaropa5f1easxavxaap9f9a52xdwr9x" timestamp="1635859642"&gt;1869&lt;/key&gt;&lt;/foreign-keys&gt;&lt;ref-type name="Magazine Article"&gt;19&lt;/ref-type&gt;&lt;contributors&gt;&lt;authors&gt;&lt;author&gt;Van&amp;apos;t Klooster, Kees&lt;/author&gt;&lt;author&gt;Hogewerf, Pieter&lt;/author&gt;&lt;/authors&gt;&lt;/contributors&gt;&lt;titles&gt;&lt;title&gt;Transpondeurs évolués : l’identification des animaux franchit une nouvelle étape&lt;/title&gt;&lt;secondary-title&gt;ISO Focus+&lt;/secondary-title&gt;&lt;/titles&gt;&lt;pages&gt;48&lt;/pages&gt;&lt;volume&gt;1&lt;/volume&gt;&lt;edition&gt;4&lt;/edition&gt;&lt;dates&gt;&lt;year&gt;2010&lt;/year&gt;&lt;pub-dates&gt;&lt;date&gt;Avril 2010&lt;/date&gt;&lt;/pub-dates&gt;&lt;/dates&gt;&lt;urls&gt;&lt;/urls&gt;&lt;/record&gt;&lt;/Cite&gt;&lt;/EndNote&gt;</w:instrText>
            </w:r>
            <w:r w:rsidRPr="0074532E">
              <w:rPr>
                <w:rFonts w:asciiTheme="majorHAnsi" w:hAnsiTheme="majorHAnsi" w:cstheme="majorHAnsi"/>
                <w:sz w:val="22"/>
                <w:szCs w:val="22"/>
                <w:lang w:eastAsia="en-US"/>
              </w:rPr>
              <w:fldChar w:fldCharType="separate"/>
            </w:r>
            <w:r w:rsidRPr="0074532E">
              <w:rPr>
                <w:rFonts w:asciiTheme="majorHAnsi" w:hAnsiTheme="majorHAnsi" w:cstheme="majorHAnsi"/>
                <w:noProof/>
                <w:sz w:val="22"/>
                <w:szCs w:val="22"/>
                <w:lang w:eastAsia="en-US"/>
              </w:rPr>
              <w:t>(Van’t Klooster et Hogewerf, 2010)</w:t>
            </w:r>
            <w:r w:rsidRPr="0074532E">
              <w:rPr>
                <w:rFonts w:asciiTheme="majorHAnsi" w:hAnsiTheme="majorHAnsi" w:cstheme="majorHAnsi"/>
                <w:sz w:val="22"/>
                <w:szCs w:val="22"/>
                <w:lang w:eastAsia="en-US"/>
              </w:rPr>
              <w:fldChar w:fldCharType="end"/>
            </w:r>
            <w:r w:rsidRPr="0074532E">
              <w:rPr>
                <w:rFonts w:asciiTheme="majorHAnsi" w:hAnsiTheme="majorHAnsi" w:cstheme="majorHAnsi"/>
                <w:sz w:val="22"/>
                <w:szCs w:val="22"/>
                <w:lang w:eastAsia="en-US"/>
              </w:rPr>
              <w:t>.</w:t>
            </w:r>
          </w:p>
        </w:tc>
      </w:tr>
    </w:tbl>
    <w:p w:rsidR="003F688D" w:rsidRPr="0074532E" w:rsidRDefault="003F688D" w:rsidP="003F688D">
      <w:pPr>
        <w:pStyle w:val="Paragraphedeliste"/>
        <w:spacing w:after="0"/>
        <w:ind w:left="0"/>
        <w:rPr>
          <w:rFonts w:asciiTheme="majorHAnsi" w:hAnsiTheme="majorHAnsi" w:cstheme="majorHAnsi"/>
        </w:rPr>
      </w:pPr>
    </w:p>
    <w:p w:rsidR="0094002B" w:rsidRDefault="0094002B"/>
    <w:sectPr w:rsidR="0094002B" w:rsidSect="0071716D">
      <w:footerReference w:type="default" r:id="rId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32E" w:rsidRDefault="0074532E" w:rsidP="0074532E">
      <w:pPr>
        <w:spacing w:after="0" w:line="240" w:lineRule="auto"/>
      </w:pPr>
      <w:r>
        <w:separator/>
      </w:r>
    </w:p>
  </w:endnote>
  <w:endnote w:type="continuationSeparator" w:id="0">
    <w:p w:rsidR="0074532E" w:rsidRDefault="0074532E" w:rsidP="00745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32E" w:rsidRPr="0071716D" w:rsidRDefault="0071716D" w:rsidP="0071716D">
    <w:pPr>
      <w:pStyle w:val="Pieddepage"/>
      <w:rPr>
        <w:color w:val="A6A6A6" w:themeColor="background1" w:themeShade="A6"/>
      </w:rPr>
    </w:pPr>
    <w:r>
      <w:rPr>
        <w:noProof/>
      </w:rPr>
      <w:drawing>
        <wp:anchor distT="0" distB="0" distL="114300" distR="114300" simplePos="0" relativeHeight="251659264" behindDoc="1" locked="0" layoutInCell="1" allowOverlap="1" wp14:anchorId="5ED3C870" wp14:editId="7DBD6858">
          <wp:simplePos x="0" y="0"/>
          <wp:positionH relativeFrom="column">
            <wp:posOffset>2842260</wp:posOffset>
          </wp:positionH>
          <wp:positionV relativeFrom="paragraph">
            <wp:posOffset>91440</wp:posOffset>
          </wp:positionV>
          <wp:extent cx="1159200" cy="367200"/>
          <wp:effectExtent l="0" t="0" r="3175"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Educagri(N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9200" cy="367200"/>
                  </a:xfrm>
                  <a:prstGeom prst="rect">
                    <a:avLst/>
                  </a:prstGeom>
                </pic:spPr>
              </pic:pic>
            </a:graphicData>
          </a:graphic>
          <wp14:sizeRelH relativeFrom="margin">
            <wp14:pctWidth>0</wp14:pctWidth>
          </wp14:sizeRelH>
          <wp14:sizeRelV relativeFrom="margin">
            <wp14:pctHeight>0</wp14:pctHeight>
          </wp14:sizeRelV>
        </wp:anchor>
      </w:drawing>
    </w:r>
    <w:r w:rsidR="0074532E">
      <w:ptab w:relativeTo="margin" w:alignment="center" w:leader="none"/>
    </w:r>
    <w:r w:rsidR="0074532E">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32E" w:rsidRDefault="0074532E" w:rsidP="0074532E">
      <w:pPr>
        <w:spacing w:after="0" w:line="240" w:lineRule="auto"/>
      </w:pPr>
      <w:r>
        <w:separator/>
      </w:r>
    </w:p>
  </w:footnote>
  <w:footnote w:type="continuationSeparator" w:id="0">
    <w:p w:rsidR="0074532E" w:rsidRDefault="0074532E" w:rsidP="007453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88D"/>
    <w:rsid w:val="002D4C98"/>
    <w:rsid w:val="003F688D"/>
    <w:rsid w:val="004478DD"/>
    <w:rsid w:val="0071716D"/>
    <w:rsid w:val="0074532E"/>
    <w:rsid w:val="0094002B"/>
    <w:rsid w:val="00D455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A780A5C5-2935-4172-A616-B40FF17C1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88D"/>
    <w:pPr>
      <w:spacing w:after="120" w:line="360" w:lineRule="auto"/>
      <w:jc w:val="both"/>
    </w:pPr>
    <w:rPr>
      <w:rFonts w:ascii="Times New Roman" w:eastAsia="Times New Roman" w:hAnsi="Times New Roman" w:cs="Times New Roman"/>
      <w:color w:val="000000"/>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mmentaire">
    <w:name w:val="annotation text"/>
    <w:basedOn w:val="Normal"/>
    <w:link w:val="CommentaireCar"/>
    <w:uiPriority w:val="99"/>
    <w:semiHidden/>
    <w:unhideWhenUsed/>
    <w:rsid w:val="003F688D"/>
    <w:pPr>
      <w:spacing w:line="240" w:lineRule="auto"/>
    </w:pPr>
    <w:rPr>
      <w:sz w:val="20"/>
      <w:szCs w:val="20"/>
    </w:rPr>
  </w:style>
  <w:style w:type="character" w:customStyle="1" w:styleId="CommentaireCar">
    <w:name w:val="Commentaire Car"/>
    <w:basedOn w:val="Policepardfaut"/>
    <w:link w:val="Commentaire"/>
    <w:uiPriority w:val="99"/>
    <w:semiHidden/>
    <w:rsid w:val="003F688D"/>
    <w:rPr>
      <w:rFonts w:ascii="Times New Roman" w:eastAsia="Times New Roman" w:hAnsi="Times New Roman" w:cs="Times New Roman"/>
      <w:color w:val="000000"/>
      <w:sz w:val="20"/>
      <w:szCs w:val="20"/>
      <w:lang w:eastAsia="fr-FR"/>
    </w:rPr>
  </w:style>
  <w:style w:type="paragraph" w:styleId="Paragraphedeliste">
    <w:name w:val="List Paragraph"/>
    <w:basedOn w:val="Normal"/>
    <w:uiPriority w:val="34"/>
    <w:qFormat/>
    <w:rsid w:val="003F688D"/>
    <w:pPr>
      <w:ind w:left="720"/>
      <w:contextualSpacing/>
    </w:pPr>
  </w:style>
  <w:style w:type="character" w:styleId="Marquedecommentaire">
    <w:name w:val="annotation reference"/>
    <w:basedOn w:val="Policepardfaut"/>
    <w:uiPriority w:val="99"/>
    <w:semiHidden/>
    <w:unhideWhenUsed/>
    <w:rsid w:val="003F688D"/>
    <w:rPr>
      <w:sz w:val="16"/>
      <w:szCs w:val="16"/>
    </w:rPr>
  </w:style>
  <w:style w:type="table" w:styleId="Grilledutableau">
    <w:name w:val="Table Grid"/>
    <w:basedOn w:val="TableauNormal"/>
    <w:uiPriority w:val="39"/>
    <w:rsid w:val="003F688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3F688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F688D"/>
    <w:rPr>
      <w:rFonts w:ascii="Segoe UI" w:eastAsia="Times New Roman" w:hAnsi="Segoe UI" w:cs="Segoe UI"/>
      <w:color w:val="000000"/>
      <w:sz w:val="18"/>
      <w:szCs w:val="18"/>
      <w:lang w:eastAsia="fr-FR"/>
    </w:rPr>
  </w:style>
  <w:style w:type="paragraph" w:styleId="En-tte">
    <w:name w:val="header"/>
    <w:basedOn w:val="Normal"/>
    <w:link w:val="En-tteCar"/>
    <w:uiPriority w:val="99"/>
    <w:unhideWhenUsed/>
    <w:rsid w:val="0074532E"/>
    <w:pPr>
      <w:tabs>
        <w:tab w:val="center" w:pos="4536"/>
        <w:tab w:val="right" w:pos="9072"/>
      </w:tabs>
      <w:spacing w:after="0" w:line="240" w:lineRule="auto"/>
    </w:pPr>
  </w:style>
  <w:style w:type="character" w:customStyle="1" w:styleId="En-tteCar">
    <w:name w:val="En-tête Car"/>
    <w:basedOn w:val="Policepardfaut"/>
    <w:link w:val="En-tte"/>
    <w:uiPriority w:val="99"/>
    <w:rsid w:val="0074532E"/>
    <w:rPr>
      <w:rFonts w:ascii="Times New Roman" w:eastAsia="Times New Roman" w:hAnsi="Times New Roman" w:cs="Times New Roman"/>
      <w:color w:val="000000"/>
      <w:sz w:val="24"/>
      <w:szCs w:val="24"/>
      <w:lang w:eastAsia="fr-FR"/>
    </w:rPr>
  </w:style>
  <w:style w:type="paragraph" w:styleId="Pieddepage">
    <w:name w:val="footer"/>
    <w:basedOn w:val="Normal"/>
    <w:link w:val="PieddepageCar"/>
    <w:uiPriority w:val="99"/>
    <w:unhideWhenUsed/>
    <w:rsid w:val="0074532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4532E"/>
    <w:rPr>
      <w:rFonts w:ascii="Times New Roman" w:eastAsia="Times New Roman" w:hAnsi="Times New Roman" w:cs="Times New Roman"/>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07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788</Words>
  <Characters>4340</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Agrosup Dijon</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Educagri éditions</dc:creator>
  <cp:keywords/>
  <dc:description/>
  <cp:lastModifiedBy>PAUTHIER Delphine</cp:lastModifiedBy>
  <cp:revision>6</cp:revision>
  <cp:lastPrinted>2022-09-21T09:31:00Z</cp:lastPrinted>
  <dcterms:created xsi:type="dcterms:W3CDTF">2022-05-26T19:58:00Z</dcterms:created>
  <dcterms:modified xsi:type="dcterms:W3CDTF">2022-09-21T09:43:00Z</dcterms:modified>
</cp:coreProperties>
</file>