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F4DF" w14:textId="4EA4EB78" w:rsidR="00B732AF" w:rsidRDefault="009C03E3">
      <w:r w:rsidRPr="000F2563">
        <w:rPr>
          <w:rFonts w:eastAsia="+mn-ea"/>
          <w:b/>
          <w:bCs/>
          <w:color w:val="000000"/>
          <w:kern w:val="24"/>
        </w:rPr>
        <w:t>Adsorption des cations par interaction électrostatique</w:t>
      </w:r>
    </w:p>
    <w:p w14:paraId="61ACC98F" w14:textId="3CBD603C" w:rsidR="009C03E3" w:rsidRDefault="009C03E3"/>
    <w:tbl>
      <w:tblPr>
        <w:tblStyle w:val="Grilledutableau"/>
        <w:tblW w:w="9674" w:type="dxa"/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6"/>
        <w:gridCol w:w="1936"/>
      </w:tblGrid>
      <w:tr w:rsidR="009C03E3" w14:paraId="77AACE9C" w14:textId="77777777" w:rsidTr="009C03E3">
        <w:trPr>
          <w:trHeight w:val="466"/>
        </w:trPr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0A76" w14:textId="77777777" w:rsidR="009C03E3" w:rsidRPr="009C03E3" w:rsidRDefault="009C03E3">
            <w:pPr>
              <w:rPr>
                <w:b/>
                <w:bCs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62ED1A0F" w14:textId="3D0D9BFF" w:rsidR="009C03E3" w:rsidRPr="009C03E3" w:rsidRDefault="009C03E3" w:rsidP="009C03E3">
            <w:pPr>
              <w:jc w:val="center"/>
              <w:rPr>
                <w:b/>
                <w:bCs/>
              </w:rPr>
            </w:pPr>
            <w:r w:rsidRPr="009C03E3">
              <w:rPr>
                <w:b/>
                <w:bCs/>
              </w:rPr>
              <w:t>Na</w:t>
            </w:r>
            <w:r w:rsidRPr="009C03E3">
              <w:rPr>
                <w:b/>
                <w:bCs/>
                <w:vertAlign w:val="superscript"/>
              </w:rPr>
              <w:t>+</w:t>
            </w:r>
            <w:r w:rsidRPr="009C03E3">
              <w:rPr>
                <w:b/>
                <w:bCs/>
              </w:rPr>
              <w:t xml:space="preserve"> en</w:t>
            </w:r>
          </w:p>
          <w:p w14:paraId="43A928E8" w14:textId="14AA4386" w:rsidR="009C03E3" w:rsidRPr="009C03E3" w:rsidRDefault="009C03E3" w:rsidP="009C03E3">
            <w:pPr>
              <w:jc w:val="center"/>
              <w:rPr>
                <w:b/>
                <w:bCs/>
              </w:rPr>
            </w:pPr>
            <w:proofErr w:type="gramStart"/>
            <w:r w:rsidRPr="009C03E3">
              <w:rPr>
                <w:b/>
                <w:bCs/>
                <w:color w:val="00B050"/>
              </w:rPr>
              <w:t>solution</w:t>
            </w:r>
            <w:proofErr w:type="gramEnd"/>
          </w:p>
        </w:tc>
        <w:tc>
          <w:tcPr>
            <w:tcW w:w="1934" w:type="dxa"/>
          </w:tcPr>
          <w:p w14:paraId="5CBBFAE1" w14:textId="329465FA" w:rsidR="009C03E3" w:rsidRPr="009C03E3" w:rsidRDefault="009C03E3" w:rsidP="009C03E3">
            <w:pPr>
              <w:jc w:val="center"/>
              <w:rPr>
                <w:b/>
                <w:bCs/>
              </w:rPr>
            </w:pPr>
            <w:r w:rsidRPr="009C03E3">
              <w:rPr>
                <w:b/>
                <w:bCs/>
              </w:rPr>
              <w:t>NH</w:t>
            </w:r>
            <w:r w:rsidRPr="009C03E3">
              <w:rPr>
                <w:b/>
                <w:bCs/>
                <w:vertAlign w:val="subscript"/>
              </w:rPr>
              <w:t>4</w:t>
            </w:r>
            <w:r w:rsidRPr="009C03E3">
              <w:rPr>
                <w:b/>
                <w:bCs/>
                <w:vertAlign w:val="superscript"/>
              </w:rPr>
              <w:t>+</w:t>
            </w:r>
            <w:r w:rsidRPr="009C03E3">
              <w:rPr>
                <w:b/>
                <w:bCs/>
              </w:rPr>
              <w:t xml:space="preserve"> en</w:t>
            </w:r>
          </w:p>
          <w:p w14:paraId="4B933687" w14:textId="6BB01253" w:rsidR="009C03E3" w:rsidRPr="009C03E3" w:rsidRDefault="009C03E3" w:rsidP="009C03E3">
            <w:pPr>
              <w:jc w:val="center"/>
              <w:rPr>
                <w:b/>
                <w:bCs/>
              </w:rPr>
            </w:pPr>
            <w:proofErr w:type="gramStart"/>
            <w:r w:rsidRPr="009C03E3">
              <w:rPr>
                <w:b/>
                <w:bCs/>
                <w:color w:val="00B050"/>
              </w:rPr>
              <w:t>solution</w:t>
            </w:r>
            <w:proofErr w:type="gramEnd"/>
          </w:p>
        </w:tc>
        <w:tc>
          <w:tcPr>
            <w:tcW w:w="1936" w:type="dxa"/>
          </w:tcPr>
          <w:p w14:paraId="699FC89C" w14:textId="3D45C73E" w:rsidR="009C03E3" w:rsidRPr="009C03E3" w:rsidRDefault="009C03E3" w:rsidP="009C03E3">
            <w:pPr>
              <w:jc w:val="center"/>
              <w:rPr>
                <w:b/>
                <w:bCs/>
              </w:rPr>
            </w:pPr>
            <w:r w:rsidRPr="009C03E3">
              <w:rPr>
                <w:b/>
                <w:bCs/>
              </w:rPr>
              <w:t>Na</w:t>
            </w:r>
            <w:r w:rsidRPr="009C03E3">
              <w:rPr>
                <w:b/>
                <w:bCs/>
                <w:vertAlign w:val="superscript"/>
              </w:rPr>
              <w:t>+</w:t>
            </w:r>
            <w:r w:rsidRPr="009C03E3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9C03E3">
              <w:rPr>
                <w:b/>
                <w:bCs/>
                <w:color w:val="00B050"/>
              </w:rPr>
              <w:t>ads</w:t>
            </w:r>
            <w:proofErr w:type="spellEnd"/>
          </w:p>
        </w:tc>
        <w:tc>
          <w:tcPr>
            <w:tcW w:w="1936" w:type="dxa"/>
          </w:tcPr>
          <w:p w14:paraId="31DFF445" w14:textId="2C76B869" w:rsidR="009C03E3" w:rsidRPr="009C03E3" w:rsidRDefault="009C03E3" w:rsidP="009C03E3">
            <w:pPr>
              <w:jc w:val="center"/>
              <w:rPr>
                <w:b/>
                <w:bCs/>
              </w:rPr>
            </w:pPr>
            <w:r w:rsidRPr="009C03E3">
              <w:rPr>
                <w:b/>
                <w:bCs/>
              </w:rPr>
              <w:t>NH</w:t>
            </w:r>
            <w:r w:rsidRPr="009C03E3">
              <w:rPr>
                <w:b/>
                <w:bCs/>
                <w:vertAlign w:val="subscript"/>
              </w:rPr>
              <w:t>4</w:t>
            </w:r>
            <w:r w:rsidRPr="009C03E3">
              <w:rPr>
                <w:b/>
                <w:bCs/>
                <w:vertAlign w:val="superscript"/>
              </w:rPr>
              <w:t>+</w:t>
            </w:r>
            <w:r w:rsidRPr="009C03E3">
              <w:rPr>
                <w:b/>
                <w:bCs/>
              </w:rPr>
              <w:t xml:space="preserve"> </w:t>
            </w:r>
            <w:proofErr w:type="spellStart"/>
            <w:r w:rsidRPr="009C03E3">
              <w:rPr>
                <w:b/>
                <w:bCs/>
                <w:color w:val="00B050"/>
              </w:rPr>
              <w:t>ads</w:t>
            </w:r>
            <w:proofErr w:type="spellEnd"/>
          </w:p>
        </w:tc>
      </w:tr>
      <w:tr w:rsidR="009C03E3" w14:paraId="52C544DE" w14:textId="77777777" w:rsidTr="009C03E3">
        <w:trPr>
          <w:trHeight w:val="906"/>
        </w:trPr>
        <w:tc>
          <w:tcPr>
            <w:tcW w:w="1934" w:type="dxa"/>
            <w:tcBorders>
              <w:top w:val="single" w:sz="4" w:space="0" w:color="auto"/>
            </w:tcBorders>
          </w:tcPr>
          <w:p w14:paraId="6EC524D0" w14:textId="220215AE" w:rsidR="009C03E3" w:rsidRPr="009C03E3" w:rsidRDefault="009C03E3" w:rsidP="009C03E3">
            <w:pPr>
              <w:spacing w:before="240" w:line="276" w:lineRule="auto"/>
              <w:rPr>
                <w:b/>
                <w:bCs/>
                <w:color w:val="00B050"/>
              </w:rPr>
            </w:pPr>
            <w:r w:rsidRPr="009C03E3">
              <w:rPr>
                <w:b/>
                <w:bCs/>
              </w:rPr>
              <w:t>Nb mol</w:t>
            </w:r>
            <w:r>
              <w:rPr>
                <w:b/>
                <w:bCs/>
              </w:rPr>
              <w:t xml:space="preserve"> </w:t>
            </w:r>
            <w:r w:rsidRPr="009C03E3">
              <w:rPr>
                <w:b/>
                <w:bCs/>
                <w:color w:val="00B050"/>
              </w:rPr>
              <w:t>initialement</w:t>
            </w:r>
          </w:p>
        </w:tc>
        <w:tc>
          <w:tcPr>
            <w:tcW w:w="1934" w:type="dxa"/>
          </w:tcPr>
          <w:p w14:paraId="1C22405E" w14:textId="77777777" w:rsidR="009C03E3" w:rsidRDefault="009C03E3" w:rsidP="009C03E3">
            <w:pPr>
              <w:spacing w:before="240"/>
            </w:pPr>
          </w:p>
        </w:tc>
        <w:tc>
          <w:tcPr>
            <w:tcW w:w="1934" w:type="dxa"/>
          </w:tcPr>
          <w:p w14:paraId="690C12EA" w14:textId="77777777" w:rsidR="009C03E3" w:rsidRDefault="009C03E3" w:rsidP="009C03E3">
            <w:pPr>
              <w:spacing w:before="240"/>
            </w:pPr>
          </w:p>
        </w:tc>
        <w:tc>
          <w:tcPr>
            <w:tcW w:w="1936" w:type="dxa"/>
          </w:tcPr>
          <w:p w14:paraId="0F3E80C4" w14:textId="77777777" w:rsidR="009C03E3" w:rsidRDefault="009C03E3" w:rsidP="009C03E3">
            <w:pPr>
              <w:spacing w:before="240"/>
            </w:pPr>
          </w:p>
        </w:tc>
        <w:tc>
          <w:tcPr>
            <w:tcW w:w="1936" w:type="dxa"/>
          </w:tcPr>
          <w:p w14:paraId="6BDE85F0" w14:textId="77777777" w:rsidR="009C03E3" w:rsidRDefault="009C03E3" w:rsidP="009C03E3">
            <w:pPr>
              <w:spacing w:before="240"/>
            </w:pPr>
          </w:p>
        </w:tc>
      </w:tr>
      <w:tr w:rsidR="009C03E3" w14:paraId="45A5B33B" w14:textId="77777777" w:rsidTr="009C03E3">
        <w:trPr>
          <w:trHeight w:val="932"/>
        </w:trPr>
        <w:tc>
          <w:tcPr>
            <w:tcW w:w="1934" w:type="dxa"/>
          </w:tcPr>
          <w:p w14:paraId="74EFDC13" w14:textId="3E741247" w:rsidR="009C03E3" w:rsidRPr="009C03E3" w:rsidRDefault="009C03E3" w:rsidP="009C03E3">
            <w:pPr>
              <w:spacing w:before="240"/>
              <w:rPr>
                <w:b/>
                <w:bCs/>
              </w:rPr>
            </w:pPr>
            <w:r w:rsidRPr="009C03E3">
              <w:rPr>
                <w:b/>
                <w:bCs/>
              </w:rPr>
              <w:t>Nb mol à</w:t>
            </w:r>
            <w:r>
              <w:rPr>
                <w:b/>
                <w:bCs/>
              </w:rPr>
              <w:t xml:space="preserve"> </w:t>
            </w:r>
            <w:r w:rsidRPr="009C03E3">
              <w:rPr>
                <w:b/>
                <w:bCs/>
                <w:color w:val="00B050"/>
              </w:rPr>
              <w:t>l’équilibre</w:t>
            </w:r>
          </w:p>
        </w:tc>
        <w:tc>
          <w:tcPr>
            <w:tcW w:w="1934" w:type="dxa"/>
          </w:tcPr>
          <w:p w14:paraId="50799832" w14:textId="084116C0" w:rsidR="009C03E3" w:rsidRDefault="009C03E3" w:rsidP="009C03E3">
            <w:pPr>
              <w:spacing w:before="240"/>
            </w:pPr>
            <w:r w:rsidRPr="009C03E3">
              <w:rPr>
                <w:sz w:val="24"/>
                <w:szCs w:val="24"/>
              </w:rPr>
              <w:t>22</w:t>
            </w:r>
            <w:r>
              <w:t>x</w:t>
            </w:r>
            <w:r w:rsidRPr="009C03E3">
              <w:rPr>
                <w:sz w:val="24"/>
                <w:szCs w:val="24"/>
              </w:rPr>
              <w:t>10</w:t>
            </w:r>
            <w:r w:rsidRPr="009C03E3">
              <w:rPr>
                <w:vertAlign w:val="superscript"/>
              </w:rPr>
              <w:t>-4</w:t>
            </w:r>
            <w:r>
              <w:t xml:space="preserve"> mol</w:t>
            </w:r>
          </w:p>
          <w:p w14:paraId="30DAC688" w14:textId="342D7F4E" w:rsidR="009C03E3" w:rsidRDefault="009C03E3" w:rsidP="009C03E3">
            <w:pPr>
              <w:spacing w:before="240"/>
            </w:pPr>
          </w:p>
        </w:tc>
        <w:tc>
          <w:tcPr>
            <w:tcW w:w="1934" w:type="dxa"/>
          </w:tcPr>
          <w:p w14:paraId="53FF0C2C" w14:textId="4F89EC05" w:rsidR="009C03E3" w:rsidRDefault="009C03E3" w:rsidP="009C03E3">
            <w:pPr>
              <w:spacing w:before="240"/>
            </w:pPr>
            <w:r w:rsidRPr="009C03E3">
              <w:rPr>
                <w:sz w:val="24"/>
                <w:szCs w:val="24"/>
              </w:rPr>
              <w:t>8</w:t>
            </w:r>
            <w:r>
              <w:t>x</w:t>
            </w:r>
            <w:r w:rsidRPr="009C03E3">
              <w:rPr>
                <w:sz w:val="24"/>
                <w:szCs w:val="24"/>
              </w:rPr>
              <w:t>10</w:t>
            </w:r>
            <w:r w:rsidRPr="009C03E3">
              <w:rPr>
                <w:vertAlign w:val="superscript"/>
              </w:rPr>
              <w:t>-4</w:t>
            </w:r>
            <w:r>
              <w:t xml:space="preserve"> mol</w:t>
            </w:r>
          </w:p>
        </w:tc>
        <w:tc>
          <w:tcPr>
            <w:tcW w:w="1936" w:type="dxa"/>
          </w:tcPr>
          <w:p w14:paraId="7A82D9BC" w14:textId="77777777" w:rsidR="009C03E3" w:rsidRDefault="009C03E3" w:rsidP="009C03E3">
            <w:pPr>
              <w:spacing w:before="240"/>
            </w:pPr>
          </w:p>
        </w:tc>
        <w:tc>
          <w:tcPr>
            <w:tcW w:w="1936" w:type="dxa"/>
          </w:tcPr>
          <w:p w14:paraId="08E7F4C4" w14:textId="77777777" w:rsidR="009C03E3" w:rsidRDefault="009C03E3" w:rsidP="009C03E3">
            <w:pPr>
              <w:spacing w:before="240"/>
            </w:pPr>
          </w:p>
        </w:tc>
      </w:tr>
      <w:tr w:rsidR="009C03E3" w14:paraId="7830017A" w14:textId="77777777" w:rsidTr="009C03E3">
        <w:trPr>
          <w:trHeight w:val="906"/>
        </w:trPr>
        <w:tc>
          <w:tcPr>
            <w:tcW w:w="1934" w:type="dxa"/>
          </w:tcPr>
          <w:p w14:paraId="00D9C8D6" w14:textId="4109DB2F" w:rsidR="009C03E3" w:rsidRPr="009C03E3" w:rsidRDefault="009C03E3" w:rsidP="009C03E3">
            <w:pPr>
              <w:spacing w:before="240"/>
              <w:rPr>
                <w:b/>
                <w:bCs/>
              </w:rPr>
            </w:pPr>
            <w:r w:rsidRPr="009C03E3">
              <w:rPr>
                <w:b/>
                <w:bCs/>
              </w:rPr>
              <w:t>Fraction ionique équivalente</w:t>
            </w:r>
          </w:p>
        </w:tc>
        <w:tc>
          <w:tcPr>
            <w:tcW w:w="1934" w:type="dxa"/>
          </w:tcPr>
          <w:p w14:paraId="3DFA6A85" w14:textId="77777777" w:rsidR="009C03E3" w:rsidRDefault="009C03E3" w:rsidP="009C03E3">
            <w:pPr>
              <w:spacing w:before="240"/>
            </w:pPr>
          </w:p>
        </w:tc>
        <w:tc>
          <w:tcPr>
            <w:tcW w:w="1934" w:type="dxa"/>
          </w:tcPr>
          <w:p w14:paraId="4AD553AC" w14:textId="77777777" w:rsidR="009C03E3" w:rsidRDefault="009C03E3" w:rsidP="009C03E3">
            <w:pPr>
              <w:spacing w:before="240"/>
            </w:pPr>
          </w:p>
        </w:tc>
        <w:tc>
          <w:tcPr>
            <w:tcW w:w="1936" w:type="dxa"/>
          </w:tcPr>
          <w:p w14:paraId="74F7CD3D" w14:textId="77777777" w:rsidR="009C03E3" w:rsidRDefault="009C03E3" w:rsidP="009C03E3">
            <w:pPr>
              <w:spacing w:before="240"/>
            </w:pPr>
          </w:p>
        </w:tc>
        <w:tc>
          <w:tcPr>
            <w:tcW w:w="1936" w:type="dxa"/>
          </w:tcPr>
          <w:p w14:paraId="6189A29B" w14:textId="77777777" w:rsidR="009C03E3" w:rsidRDefault="009C03E3" w:rsidP="009C03E3">
            <w:pPr>
              <w:spacing w:before="240"/>
            </w:pPr>
          </w:p>
        </w:tc>
      </w:tr>
    </w:tbl>
    <w:p w14:paraId="4821A188" w14:textId="27AC846A" w:rsidR="009C03E3" w:rsidRDefault="009C03E3"/>
    <w:p w14:paraId="206097B3" w14:textId="25879544" w:rsidR="009C03E3" w:rsidRDefault="009C03E3">
      <w:r>
        <w:t>Correction :</w:t>
      </w:r>
    </w:p>
    <w:p w14:paraId="3AD9A1BA" w14:textId="216F2C56" w:rsidR="009C03E3" w:rsidRDefault="009C03E3">
      <w:r>
        <w:rPr>
          <w:noProof/>
          <w:lang w:eastAsia="zh-CN" w:bidi="hi-IN"/>
        </w:rPr>
        <w:drawing>
          <wp:inline distT="0" distB="0" distL="0" distR="0" wp14:anchorId="535E7481" wp14:editId="37B76283">
            <wp:extent cx="6159073" cy="1714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94" cy="171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3"/>
    <w:rsid w:val="002B4692"/>
    <w:rsid w:val="00667C32"/>
    <w:rsid w:val="009C03E3"/>
    <w:rsid w:val="00B732AF"/>
    <w:rsid w:val="00DB0A29"/>
    <w:rsid w:val="00F2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98377"/>
  <w15:chartTrackingRefBased/>
  <w15:docId w15:val="{F42881F2-3019-4D46-A387-575E283B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32"/>
  </w:style>
  <w:style w:type="paragraph" w:styleId="Titre1">
    <w:name w:val="heading 1"/>
    <w:basedOn w:val="Normal"/>
    <w:next w:val="Normal"/>
    <w:link w:val="Titre1Car"/>
    <w:uiPriority w:val="9"/>
    <w:qFormat/>
    <w:rsid w:val="00667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C32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7C32"/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7C32"/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67C3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laetitia.perrier</dc:creator>
  <cp:keywords/>
  <dc:description/>
  <cp:lastModifiedBy>laetitia.perrier</cp:lastModifiedBy>
  <cp:revision>1</cp:revision>
  <dcterms:created xsi:type="dcterms:W3CDTF">2023-04-24T13:58:00Z</dcterms:created>
  <dcterms:modified xsi:type="dcterms:W3CDTF">2023-04-24T14:08:00Z</dcterms:modified>
</cp:coreProperties>
</file>